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>
          <w:rFonts w:ascii="Arial" w:hAnsi="Arial" w:eastAsia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327"/>
                <wp:effectExtent l="0" t="0" r="0" b="9525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212759" name="Picture 2" descr="Безымя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1052" cy="506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Arial" w:hAnsi="Arial" w:eastAsia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с. Михайловка</w:t>
      </w:r>
      <w:r>
        <w:rPr>
          <w:rFonts w:ascii="Times New Roman" w:hAnsi="Times New Roman" w:eastAsia="Times New Roman" w:cs="Times New Roman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№ __________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</w:t>
      </w:r>
      <w:r/>
    </w:p>
    <w:p>
      <w:pPr>
        <w:ind w:left="-284" w:right="-285"/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/>
      <w:bookmarkStart w:id="0" w:name="_Hlk21696057"/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внесении изменений в постановление администрации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Михайловского муниципального района от 09.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2020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951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-па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«Об утверждении муниципальной программы «Управление муниципальным имуществом и земельными ресурсами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Михайловского муниципального района на 20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годы»</w:t>
      </w:r>
      <w:bookmarkEnd w:id="0"/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pStyle w:val="854"/>
        <w:ind w:firstLine="709"/>
        <w:jc w:val="both"/>
        <w:spacing w:line="36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 основании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решени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Думы Михайловского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21.12</w:t>
      </w:r>
      <w:r>
        <w:rPr>
          <w:rFonts w:ascii="Times New Roman" w:hAnsi="Times New Roman" w:cs="Times New Roman"/>
          <w:sz w:val="27"/>
          <w:szCs w:val="27"/>
        </w:rPr>
        <w:t xml:space="preserve">.2022 № </w:t>
      </w:r>
      <w:r>
        <w:rPr>
          <w:rFonts w:ascii="Times New Roman" w:hAnsi="Times New Roman" w:cs="Times New Roman"/>
          <w:sz w:val="27"/>
          <w:szCs w:val="27"/>
        </w:rPr>
        <w:t xml:space="preserve">285</w:t>
      </w:r>
      <w:r>
        <w:rPr>
          <w:rFonts w:ascii="Times New Roman" w:hAnsi="Times New Roman" w:cs="Times New Roman"/>
          <w:sz w:val="27"/>
          <w:szCs w:val="27"/>
        </w:rPr>
        <w:t xml:space="preserve"> 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</w:t>
      </w:r>
      <w:r>
        <w:rPr>
          <w:rFonts w:ascii="Times New Roman" w:hAnsi="Times New Roman" w:cs="Times New Roman"/>
          <w:sz w:val="27"/>
          <w:szCs w:val="27"/>
        </w:rPr>
        <w:t xml:space="preserve"> 2023 и 2024 годы»,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от 21.12.2022 № 286 «</w:t>
      </w:r>
      <w:r>
        <w:rPr>
          <w:rFonts w:ascii="Times New Roman" w:hAnsi="Times New Roman" w:cs="Times New Roman"/>
          <w:bCs/>
          <w:sz w:val="27"/>
          <w:szCs w:val="27"/>
        </w:rPr>
        <w:t xml:space="preserve">Об утверждении </w:t>
      </w:r>
      <w:r>
        <w:rPr>
          <w:rFonts w:ascii="Times New Roman" w:hAnsi="Times New Roman" w:cs="Times New Roman"/>
          <w:bCs/>
          <w:sz w:val="27"/>
          <w:szCs w:val="27"/>
        </w:rPr>
        <w:t xml:space="preserve">районного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бюджета Михайловского муниципального района на 2023 год и плановый период 2024 и 2025 годов», от 04.10.2023 № 365</w:t>
      </w:r>
      <w:r>
        <w:rPr>
          <w:rFonts w:ascii="Times New Roman" w:hAnsi="Times New Roman" w:cs="Times New Roman"/>
          <w:bCs/>
          <w:sz w:val="27"/>
          <w:szCs w:val="27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«</w:t>
      </w:r>
      <w:r>
        <w:rPr>
          <w:rFonts w:ascii="Times New Roman" w:hAnsi="Times New Roman" w:cs="Times New Roman"/>
          <w:sz w:val="27"/>
          <w:szCs w:val="27"/>
        </w:rPr>
        <w:t xml:space="preserve">О внесении изменений и дополнений в  решение Думы Михайловского муниципального района от 21.12.2022 № 286 «Об утверждении районного бюджета Михайловского муниципального района на 2023 год и плановый период  2024 и 2025 годы»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руководствуясь Уставом Михайловского муниципального района,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администрация Михайловского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муниципального район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ПОСТАНОВЛЯЕТ: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Внести изменения в постановление администрации Михайловского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муниципального района от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09.11.2020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951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-па «Об утверждении муниципальной программы «Управление муниципальным имуществом 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земельными ресурсами Михайловского муниципального района на 20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годы»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(далее – Программа) следующего содержания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1.1.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Раздел «Объемы бюджетных ассигнований муниципальной программы»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аспорт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Программы </w:t>
      </w:r>
      <w:r>
        <w:rPr>
          <w:rFonts w:ascii="Times New Roman" w:hAnsi="Times New Roman" w:cs="Times New Roman"/>
          <w:sz w:val="27"/>
          <w:szCs w:val="27"/>
        </w:rPr>
        <w:t xml:space="preserve">изложить в новой редакции: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>
        <w:trPr/>
        <w:tc>
          <w:tcPr>
            <w:shd w:val="clear" w:color="ffffff" w:fill="ffffff"/>
            <w:tcW w:w="33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программы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ffffff" w:fill="ffffff"/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Финансовые затраты на реализацию программы ВСЕГО: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92674,364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руб.,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40261,22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руб.;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39986,833</w:t>
            </w:r>
            <w:r/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2021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42661,647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руб.;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25073,339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17588,308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2022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23162,353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руб.;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2578,565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8157,477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2023 г. –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26850,364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 руб.;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т.ч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12609,316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руб.;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14241,048</w:t>
            </w:r>
            <w:r/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</w:p>
    <w:p>
      <w:pPr>
        <w:ind w:firstLine="709"/>
        <w:jc w:val="both"/>
        <w:spacing w:after="0" w:line="360" w:lineRule="auto"/>
        <w:widowControl w:val="off"/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аздел </w:t>
      </w:r>
      <w:r>
        <w:rPr>
          <w:rFonts w:ascii="Times New Roman" w:hAnsi="Times New Roman" w:cs="Times New Roman"/>
          <w:sz w:val="27"/>
          <w:szCs w:val="27"/>
        </w:rPr>
        <w:t xml:space="preserve">V</w:t>
      </w:r>
      <w:r>
        <w:rPr>
          <w:rFonts w:ascii="Times New Roman" w:hAnsi="Times New Roman" w:cs="Times New Roman"/>
          <w:sz w:val="27"/>
          <w:szCs w:val="27"/>
        </w:rPr>
        <w:t xml:space="preserve"> Программы</w:t>
      </w:r>
      <w:r>
        <w:rPr>
          <w:rFonts w:ascii="Times New Roman" w:hAnsi="Times New Roman" w:cs="Times New Roman"/>
          <w:sz w:val="27"/>
          <w:szCs w:val="27"/>
        </w:rPr>
        <w:t xml:space="preserve"> «Ресурсное обеспечение реализации муниципальной программы»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изложить в новой редакции: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54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«V. Ресурсное обеспечение реализации муниципальной программы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7"/>
          <w:szCs w:val="27"/>
        </w:rPr>
        <w:t xml:space="preserve">Общий объем финансирования муниципальной программы </w:t>
      </w:r>
      <w:r>
        <w:rPr>
          <w:rFonts w:ascii="Times New Roman" w:hAnsi="Times New Roman" w:cs="Times New Roman"/>
          <w:sz w:val="27"/>
          <w:szCs w:val="27"/>
        </w:rPr>
        <w:t xml:space="preserve">составляет </w:t>
      </w:r>
      <w:r>
        <w:rPr>
          <w:rFonts w:ascii="Times New Roman" w:hAnsi="Times New Roman" w:cs="Times New Roman"/>
          <w:sz w:val="27"/>
          <w:szCs w:val="27"/>
        </w:rPr>
        <w:t xml:space="preserve">92674,364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тыс. руб.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2021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42661,647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тыс. руб., 2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0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22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23162,353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тыс. руб., 2023 г. –  </w:t>
      </w:r>
      <w:r>
        <w:rPr>
          <w:rFonts w:ascii="Times New Roman" w:hAnsi="Times New Roman" w:cs="Times New Roman"/>
          <w:bCs/>
          <w:sz w:val="27"/>
          <w:szCs w:val="27"/>
        </w:rPr>
        <w:t xml:space="preserve">26850,364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тыс.  руб.),  </w:t>
      </w:r>
      <w:r>
        <w:rPr>
          <w:rFonts w:ascii="Times New Roman" w:hAnsi="Times New Roman" w:cs="Times New Roman"/>
          <w:sz w:val="27"/>
          <w:szCs w:val="27"/>
        </w:rPr>
        <w:t xml:space="preserve">в том числе из средств местного бюджета – </w:t>
      </w:r>
      <w:r>
        <w:rPr>
          <w:rFonts w:ascii="Times New Roman" w:hAnsi="Times New Roman" w:cs="Times New Roman"/>
          <w:sz w:val="27"/>
          <w:szCs w:val="27"/>
        </w:rPr>
        <w:t xml:space="preserve">40261,22</w:t>
      </w:r>
      <w:r>
        <w:rPr>
          <w:rFonts w:ascii="Times New Roman" w:hAnsi="Times New Roman" w:cs="Times New Roman"/>
          <w:sz w:val="27"/>
          <w:szCs w:val="27"/>
        </w:rPr>
        <w:t xml:space="preserve"> тыс. руб.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2021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25073,339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тыс. руб., 2022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2578,565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тыс. руб., 2023 г. –  </w:t>
      </w:r>
      <w:r>
        <w:rPr>
          <w:rFonts w:ascii="Times New Roman" w:hAnsi="Times New Roman" w:cs="Times New Roman"/>
          <w:bCs/>
          <w:sz w:val="27"/>
          <w:szCs w:val="27"/>
        </w:rPr>
        <w:t xml:space="preserve">12609,316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тыс. руб.), </w:t>
      </w:r>
      <w:r>
        <w:rPr>
          <w:rFonts w:ascii="Times New Roman" w:hAnsi="Times New Roman" w:cs="Times New Roman"/>
          <w:sz w:val="27"/>
          <w:szCs w:val="27"/>
        </w:rPr>
        <w:t xml:space="preserve">из средств краевого бюджета – </w:t>
      </w:r>
      <w:r>
        <w:rPr>
          <w:rFonts w:ascii="Times New Roman" w:hAnsi="Times New Roman" w:cs="Times New Roman"/>
          <w:sz w:val="27"/>
          <w:szCs w:val="27"/>
        </w:rPr>
        <w:t xml:space="preserve">39986,833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тыс. руб.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2021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17588,308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тыс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.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руб., 2022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8157,477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тыс. руб., 2023 г. –  </w:t>
      </w:r>
      <w:r>
        <w:rPr>
          <w:rFonts w:ascii="Times New Roman" w:hAnsi="Times New Roman" w:cs="Times New Roman"/>
          <w:bCs/>
          <w:sz w:val="27"/>
          <w:szCs w:val="27"/>
        </w:rPr>
        <w:t xml:space="preserve">14241,048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тыс. руб.)</w:t>
      </w:r>
      <w:r>
        <w:rPr>
          <w:rFonts w:ascii="Times New Roman" w:hAnsi="Times New Roman" w:cs="Times New Roman"/>
          <w:sz w:val="27"/>
          <w:szCs w:val="27"/>
        </w:rPr>
        <w:t xml:space="preserve">, из средств федерального бюджета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12426,311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тыс. руб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2022 г. – </w:t>
      </w:r>
      <w:r>
        <w:rPr>
          <w:rFonts w:ascii="Times New Roman" w:hAnsi="Times New Roman" w:cs="Times New Roman"/>
          <w:bCs/>
          <w:sz w:val="27"/>
          <w:szCs w:val="27"/>
        </w:rPr>
        <w:t xml:space="preserve">12426,311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тыс. руб.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).</w:t>
      </w:r>
      <w:r>
        <w:rPr>
          <w:rFonts w:ascii="Times New Roman" w:hAnsi="Times New Roman" w:cs="Times New Roman"/>
          <w:sz w:val="27"/>
          <w:szCs w:val="27"/>
        </w:rPr>
        <w:t xml:space="preserve">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  <w:r>
        <w:rPr>
          <w:rFonts w:ascii="Times New Roman" w:hAnsi="Times New Roman" w:cs="Times New Roman"/>
          <w:sz w:val="27"/>
          <w:szCs w:val="27"/>
        </w:rPr>
      </w:r>
      <w:r>
        <w:rPr>
          <w:sz w:val="27"/>
          <w:szCs w:val="27"/>
        </w:rPr>
      </w:r>
    </w:p>
    <w:p>
      <w:pPr>
        <w:pStyle w:val="854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54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РЕСУРСНОЕ ОБЕСПЕЧЕНИЕ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54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реализации муниципальной программы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54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Ответственный исполнитель Управление по вопросам градостроительства,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54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имущественных и земельных отношений администрации</w:t>
      </w:r>
      <w:r>
        <w:rPr>
          <w:rFonts w:ascii="Times New Roman" w:hAnsi="Times New Roman" w:cs="Times New Roman"/>
          <w:sz w:val="27"/>
          <w:szCs w:val="27"/>
        </w:rPr>
      </w:r>
      <w:r/>
    </w:p>
    <w:p>
      <w:pPr>
        <w:pStyle w:val="854"/>
        <w:jc w:val="center"/>
      </w:pPr>
      <w:r>
        <w:rPr>
          <w:rFonts w:ascii="Times New Roman" w:hAnsi="Times New Roman" w:cs="Times New Roman"/>
          <w:sz w:val="27"/>
          <w:szCs w:val="27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7"/>
          <w:szCs w:val="27"/>
          <w:u w:val="single"/>
        </w:rPr>
      </w:r>
      <w:r/>
    </w:p>
    <w:p>
      <w:pPr>
        <w:pStyle w:val="854"/>
      </w:pP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  <w:r/>
    </w:p>
    <w:tbl>
      <w:tblPr>
        <w:tblW w:w="9707" w:type="dxa"/>
        <w:tblInd w:w="-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>
        <w:trPr>
          <w:trHeight w:val="358"/>
        </w:trPr>
        <w:tc>
          <w:tcPr>
            <w:tcW w:w="1314" w:type="dxa"/>
            <w:vAlign w:val="center"/>
            <w:vMerge w:val="restart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21" w:type="dxa"/>
            <w:vAlign w:val="center"/>
            <w:vMerge w:val="restart"/>
            <w:textDirection w:val="lrTb"/>
            <w:noWrap w:val="false"/>
          </w:tcPr>
          <w:p>
            <w:pPr>
              <w:pStyle w:val="8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ведомственной целевой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54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9"/>
            <w:tcW w:w="4296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1"/>
          <w:trHeight w:val="1074"/>
        </w:trPr>
        <w:tc>
          <w:tcPr>
            <w:tcW w:w="1314" w:type="dxa"/>
            <w:vAlign w:val="center"/>
            <w:vMerge w:val="continue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21" w:type="dxa"/>
            <w:vAlign w:val="center"/>
            <w:vMerge w:val="continue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7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7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72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73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gridAfter w:val="2"/>
          <w:trHeight w:val="961"/>
        </w:trPr>
        <w:tc>
          <w:tcPr>
            <w:tcW w:w="1314" w:type="dxa"/>
            <w:vMerge w:val="restart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21" w:type="dxa"/>
            <w:vMerge w:val="restart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муниципальным имуществом и земельными ресурсами Михайловского муниципального района на 2021-2023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40261,22</w:t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25073,339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2578,565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12609,316</w:t>
            </w:r>
            <w:r/>
          </w:p>
        </w:tc>
      </w:tr>
      <w:tr>
        <w:trPr>
          <w:gridAfter w:val="2"/>
          <w:trHeight w:val="961"/>
        </w:trPr>
        <w:tc>
          <w:tcPr>
            <w:tcW w:w="1314" w:type="dxa"/>
            <w:vMerge w:val="continue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21" w:type="dxa"/>
            <w:vMerge w:val="continue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39986,833</w:t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17588,308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8157,477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14241,048</w:t>
            </w:r>
            <w:r/>
          </w:p>
        </w:tc>
      </w:tr>
      <w:tr>
        <w:trPr>
          <w:gridAfter w:val="2"/>
          <w:trHeight w:val="961"/>
        </w:trPr>
        <w:tc>
          <w:tcPr>
            <w:tcW w:w="1314" w:type="dxa"/>
            <w:vMerge w:val="continue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21" w:type="dxa"/>
            <w:vMerge w:val="continue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</w:tr>
      <w:tr>
        <w:trPr>
          <w:gridAfter w:val="2"/>
          <w:trHeight w:val="404"/>
        </w:trPr>
        <w:tc>
          <w:tcPr>
            <w:tcW w:w="1314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821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066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92674,364</w:t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42661,647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23162,353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2"/>
            <w:tcW w:w="1067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26850,364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u w:val="single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1.3.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риложени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 № 1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к Программе «Перечень мероприятий муниципальной программы»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изложить в новой редакции: </w:t>
      </w:r>
      <w:r/>
    </w:p>
    <w:p>
      <w:pPr>
        <w:ind w:left="4111"/>
        <w:jc w:val="center"/>
        <w:spacing w:after="0" w:line="240" w:lineRule="auto"/>
        <w:outlineLvl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«Приложение № 1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411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к муниципальной программе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left="411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Управление муниципальным имуществом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/>
    </w:p>
    <w:p>
      <w:pPr>
        <w:ind w:left="411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 земельными ресурсами Михайловского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/>
    </w:p>
    <w:p>
      <w:pPr>
        <w:ind w:left="4111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муниципального района на 20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ind w:firstLine="0"/>
        <w:jc w:val="both"/>
        <w:spacing w:after="0" w:line="360" w:lineRule="auto"/>
        <w:widowControl w:val="off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ПЕРЕЧЕНЬ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мероприятий муниципальной программы «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Управление муниципальным имуществом и земельными ресурсами Михайловского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муниципального района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на 20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/>
    </w:p>
    <w:tbl>
      <w:tblPr>
        <w:tblW w:w="94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851"/>
        <w:gridCol w:w="850"/>
        <w:gridCol w:w="851"/>
        <w:gridCol w:w="850"/>
        <w:gridCol w:w="851"/>
        <w:gridCol w:w="850"/>
        <w:gridCol w:w="2092"/>
        <w:gridCol w:w="8"/>
      </w:tblGrid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</w:t>
            </w:r>
            <w:r/>
          </w:p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Источники</w:t>
            </w:r>
            <w:r/>
          </w:p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финансирования</w:t>
            </w:r>
            <w:r/>
          </w:p>
        </w:tc>
        <w:tc>
          <w:tcPr>
            <w:gridSpan w:val="4"/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Объемы финансирования</w:t>
            </w:r>
            <w:r/>
          </w:p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(тыс. рублей)</w:t>
            </w:r>
            <w:r/>
          </w:p>
        </w:tc>
        <w:tc>
          <w:tcPr>
            <w:tcW w:w="20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Показатели результата реализации мероприятия по годам</w:t>
            </w:r>
            <w:r/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год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2023 год</w:t>
            </w:r>
            <w:r/>
          </w:p>
        </w:tc>
        <w:tc>
          <w:tcPr>
            <w:tcW w:w="20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9"/>
            <w:tcW w:w="9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Муниципальная программа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муниципальным имуществом и земельными ресурсами Михайловского муниципального района на 2021-2023 годы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</w:t>
            </w:r>
            <w:r/>
          </w:p>
          <w:p>
            <w:pPr>
              <w:jc w:val="both"/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Цель муниципальной программы - 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  <w:r/>
          </w:p>
        </w:tc>
      </w:tr>
      <w:tr>
        <w:trPr/>
        <w:tc>
          <w:tcPr>
            <w:gridSpan w:val="9"/>
            <w:tcW w:w="943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Задача № 1: Повышение эффективности управления муниципальным имуществом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1617,18</w:t>
            </w:r>
            <w:r>
              <w:rPr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370,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066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512,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533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734,58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Постановка объектов 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государственный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кадастровый учет: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9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34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30 </w:t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1679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1.2 Регистрация права муниципальной собственности на объекты недвижимости 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Местный бюджет 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eastAsia="ru-RU"/>
              </w:rPr>
              <w:t xml:space="preserve">Получение выписок из ЕГРН на объект: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18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- 20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- 23 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1.3 Оценка рыночной стоимости, оценка величины арендной платы объектов муниципального имущества,  экономическое обоснование ставок арендной платы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860,585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134,0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151,0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575,585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объектов оценки: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20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20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2023 год – 20 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Инвентаризация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кладбищ, а также мест захоронения на кладбищах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1612,167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1612,167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Постановка объектов на ГКУ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: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1.5 Паспортизация и постановка на ГКУ бесхозяйных мелиоративных систем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500,0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500,0</w:t>
            </w:r>
            <w:r>
              <w:rPr>
                <w:color w:val="auto"/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Постановка объектов на ГКУ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2023 год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rPr/>
        <w:tc>
          <w:tcPr>
            <w:gridSpan w:val="9"/>
            <w:tcW w:w="94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Задача № 2: Формирование земельного фонда муниципа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Выполнение кадастровых работ в отношении земельных участков, сформированных в социальных целях и для предоставления в аренду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915,729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172,0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243,729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земельных участков: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43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50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50 </w:t>
            </w:r>
            <w:r>
              <w:rPr>
                <w:highlight w:val="none"/>
              </w:rPr>
            </w:r>
          </w:p>
          <w:p>
            <w:pPr>
              <w:jc w:val="both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613,5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5,0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278,5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земельных участков: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43 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30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30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.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несение изменений в Генеральные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планы и Правила землепользования и застройки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1547,0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1025,4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521,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Генеральные планы и ПЗЗ с внесенными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изменениями: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2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2 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gridSpan w:val="8"/>
            <w:tcW w:w="942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786"/>
        </w:trPr>
        <w:tc>
          <w:tcPr>
            <w:tcW w:w="223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3.1 Приобретение жилых и нежилых помещений </w:t>
            </w:r>
            <w:r>
              <w:rPr>
                <w:highlight w:val="none"/>
              </w:rPr>
            </w:r>
          </w:p>
        </w:tc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МБ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61,11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2361,11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4400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жилых помещений: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11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10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  <w:lang w:eastAsia="ru-RU"/>
              </w:rPr>
              <w:t xml:space="preserve">7</w:t>
            </w:r>
            <w:r>
              <w:rPr>
                <w:color w:val="auto"/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нежилых помещений: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4</w:t>
            </w:r>
            <w:r>
              <w:rPr>
                <w:highlight w:val="none"/>
              </w:rPr>
            </w:r>
          </w:p>
        </w:tc>
      </w:tr>
      <w:tr>
        <w:trPr>
          <w:gridAfter w:val="1"/>
          <w:trHeight w:val="787"/>
        </w:trPr>
        <w:tc>
          <w:tcPr>
            <w:tcW w:w="22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КБ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39986,833</w:t>
            </w:r>
            <w:r>
              <w:rPr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17588,308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8157,477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14241,048</w:t>
            </w:r>
            <w:r>
              <w:rPr>
                <w:highlight w:val="none"/>
              </w:rPr>
            </w:r>
          </w:p>
        </w:tc>
        <w:tc>
          <w:tcPr>
            <w:tcW w:w="20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  <w:trHeight w:val="787"/>
        </w:trPr>
        <w:tc>
          <w:tcPr>
            <w:tcW w:w="2234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ФБ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12426,311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12426,311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  <w:trHeight w:val="1172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3.2 Приобретение транспортных средств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19952,4314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19952,4314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транспортных средств: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– 5 единиц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ехнический осмотр, страхование,  изменение регистрационных данных и постановка на учет ТС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40,2542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24,2542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3.4. Строительство пешеходного мостового перехода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УГИЗО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Местный бюджет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420,983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50,0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370,983</w:t>
            </w:r>
            <w:r>
              <w:rPr>
                <w:highlight w:val="none"/>
              </w:rPr>
            </w:r>
          </w:p>
        </w:tc>
        <w:tc>
          <w:tcPr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– проектная документация (1 том)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– 1 объект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gridSpan w:val="8"/>
            <w:tcW w:w="9429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Задача № 4: Содержание имущества казны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4.1 Оплата услуг отопления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230,814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34,888</w:t>
            </w:r>
            <w:r>
              <w:rPr>
                <w:highlight w:val="none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45,926</w:t>
            </w:r>
            <w:r>
              <w:rPr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150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,0</w:t>
            </w:r>
            <w:r>
              <w:rPr>
                <w:highlight w:val="none"/>
              </w:rPr>
            </w:r>
          </w:p>
        </w:tc>
        <w:tc>
          <w:tcPr>
            <w:tcW w:w="20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Договор на оказание услуг: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1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2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4.2 Оплата услуг электроснабжения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50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20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4.3 Капитальный ремонт нежилых помещений, приобретение оборудования для ОДН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76,281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70,0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6,281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помещений: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– 1;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– 1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4.4 Проектно-изыскательские работы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, разработка проектно-сметной документации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на гидротехнические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сооружения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4294,189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694,1891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3600,0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ПИР: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2021 год –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.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ПСД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2023 год – 2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4.5 Демонтаж объектов капитального строительства 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697,476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697,476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– 1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4.6 Ликвидация несанкционированных свалок на муниципальных земельных участках 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71,520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71,520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0,0</w:t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Количество земельных участков:</w:t>
            </w:r>
            <w:r>
              <w:rPr>
                <w:highlight w:val="none"/>
              </w:rPr>
            </w:r>
          </w:p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2022 год – 1</w:t>
            </w:r>
            <w:r>
              <w:rPr>
                <w:highlight w:val="none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МБ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40261,22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25073,339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2578,565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12609,316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39986,833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17588,308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8157,477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14241,048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ФБ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12426,311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Итого по муниципальной программе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3320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92674,364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42661,647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23162,353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26850,364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2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332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Корж С.Г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 w:cs="Arial"/>
          <w:sz w:val="27"/>
          <w:szCs w:val="27"/>
          <w:lang w:eastAsia="ru-RU"/>
        </w:rPr>
      </w:pPr>
      <w:r>
        <w:rPr>
          <w:rFonts w:ascii="Times New Roman" w:hAnsi="Times New Roman" w:eastAsia="Times New Roman" w:cs="Arial"/>
          <w:sz w:val="27"/>
          <w:szCs w:val="27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4. Контроль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над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исполнени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настоящего постановления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возложить на первого заместителя главы администрации муниципального района Зубок П.А.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лав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Михайловского муниципального района –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Глав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администрации района                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В.В. Архипов</w:t>
      </w:r>
      <w:r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851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234391544"/>
      <w:docPartObj>
        <w:docPartGallery w:val="Page Numbers (Top of Page)"/>
        <w:docPartUnique w:val="true"/>
      </w:docPartObj>
      <w:rPr/>
    </w:sdtPr>
    <w:sdtContent>
      <w:p>
        <w:pPr>
          <w:pStyle w:val="84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7"/>
    <w:link w:val="836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5"/>
    <w:next w:val="835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7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7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7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7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7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7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5"/>
    <w:next w:val="835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7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7"/>
    <w:link w:val="847"/>
    <w:uiPriority w:val="99"/>
  </w:style>
  <w:style w:type="character" w:styleId="688">
    <w:name w:val="Footer Char"/>
    <w:basedOn w:val="837"/>
    <w:link w:val="851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851"/>
    <w:uiPriority w:val="99"/>
  </w:style>
  <w:style w:type="table" w:styleId="691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7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7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</w:style>
  <w:style w:type="paragraph" w:styleId="836">
    <w:name w:val="Heading 1"/>
    <w:basedOn w:val="835"/>
    <w:link w:val="843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Balloon Text"/>
    <w:basedOn w:val="835"/>
    <w:link w:val="8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7"/>
    <w:link w:val="840"/>
    <w:uiPriority w:val="99"/>
    <w:semiHidden/>
    <w:rPr>
      <w:rFonts w:ascii="Tahoma" w:hAnsi="Tahoma" w:cs="Tahoma"/>
      <w:sz w:val="16"/>
      <w:szCs w:val="16"/>
    </w:rPr>
  </w:style>
  <w:style w:type="paragraph" w:styleId="842">
    <w:name w:val="List Paragraph"/>
    <w:basedOn w:val="835"/>
    <w:uiPriority w:val="34"/>
    <w:qFormat/>
    <w:pPr>
      <w:contextualSpacing/>
      <w:ind w:left="720"/>
    </w:pPr>
  </w:style>
  <w:style w:type="character" w:styleId="843" w:customStyle="1">
    <w:name w:val="Заголовок 1 Знак"/>
    <w:basedOn w:val="837"/>
    <w:link w:val="83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44">
    <w:name w:val="Body Text"/>
    <w:basedOn w:val="835"/>
    <w:link w:val="845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45" w:customStyle="1">
    <w:name w:val="Основной текст Знак"/>
    <w:basedOn w:val="837"/>
    <w:link w:val="84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7">
    <w:name w:val="Header"/>
    <w:basedOn w:val="835"/>
    <w:link w:val="84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Верхний колонтитул Знак"/>
    <w:basedOn w:val="837"/>
    <w:link w:val="84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9">
    <w:name w:val="Body Text Indent 2"/>
    <w:basedOn w:val="835"/>
    <w:link w:val="850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0" w:customStyle="1">
    <w:name w:val="Основной текст с отступом 2 Знак"/>
    <w:basedOn w:val="837"/>
    <w:link w:val="84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>
    <w:name w:val="Footer"/>
    <w:basedOn w:val="835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Нижний колонтитул Знак"/>
    <w:basedOn w:val="837"/>
    <w:link w:val="851"/>
    <w:uiPriority w:val="99"/>
  </w:style>
  <w:style w:type="paragraph" w:styleId="85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5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B028-5C92-4569-9446-76E2BA5D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14</cp:revision>
  <dcterms:created xsi:type="dcterms:W3CDTF">2023-08-03T06:00:00Z</dcterms:created>
  <dcterms:modified xsi:type="dcterms:W3CDTF">2023-10-12T05:28:10Z</dcterms:modified>
</cp:coreProperties>
</file>